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JET GROUTING UNTUK CUT-OFF DAN PENGUKUHAN TANAH</w:t>
      </w:r>
    </w:p>
    <w:p>
      <w:pPr>
        <w:spacing w:after="480"/>
      </w:pPr>
      <w:r>
        <w:rPr>
          <w:rFonts w:ascii="Aptos" w:hAnsi="Aptos"/>
          <w:b w:val="0"/>
          <w:color w:val="5E6B78"/>
          <w:sz w:val="26"/>
        </w:rPr>
        <w:t>Jet-Grouted Cut-Off and Ground-Improvement Wall</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MS-SRS-007</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jet grouting untuk cut-off dan pengukuhan tanah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jet grouting untuk cut-off dan pengukuhan tanah.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Cement jalankan grouting</w:t>
      </w:r>
    </w:p>
    <w:p>
      <w:pPr>
        <w:pStyle w:val="ListBullet"/>
        <w:spacing w:after="50"/>
        <w:ind w:left="369" w:hanging="170"/>
      </w:pPr>
      <w:r>
        <w:rPr>
          <w:rFonts w:ascii="Aptos" w:hAnsi="Aptos"/>
          <w:b w:val="0"/>
          <w:color w:val="263442"/>
          <w:sz w:val="19"/>
        </w:rPr>
        <w:t>Air</w:t>
      </w:r>
    </w:p>
    <w:p>
      <w:pPr>
        <w:pStyle w:val="ListBullet"/>
        <w:spacing w:after="50"/>
        <w:ind w:left="369" w:hanging="170"/>
      </w:pPr>
      <w:r>
        <w:rPr>
          <w:rFonts w:ascii="Aptos" w:hAnsi="Aptos"/>
          <w:b w:val="0"/>
          <w:color w:val="263442"/>
          <w:sz w:val="19"/>
        </w:rPr>
        <w:t>Admixtures where diluluskan</w:t>
      </w:r>
    </w:p>
    <w:p>
      <w:pPr>
        <w:pStyle w:val="ListBullet"/>
        <w:spacing w:after="50"/>
        <w:ind w:left="369" w:hanging="170"/>
      </w:pPr>
      <w:r>
        <w:rPr>
          <w:rFonts w:ascii="Aptos" w:hAnsi="Aptos"/>
          <w:b w:val="0"/>
          <w:color w:val="263442"/>
          <w:sz w:val="19"/>
        </w:rPr>
        <w:t>Bentonite seperti ditetapkan</w:t>
      </w:r>
    </w:p>
    <w:p>
      <w:pPr>
        <w:pStyle w:val="ListBullet"/>
        <w:spacing w:after="50"/>
        <w:ind w:left="369" w:hanging="170"/>
      </w:pPr>
      <w:r>
        <w:rPr>
          <w:rFonts w:ascii="Aptos" w:hAnsi="Aptos"/>
          <w:b w:val="0"/>
          <w:color w:val="263442"/>
          <w:sz w:val="19"/>
        </w:rPr>
        <w:t>Spoil-containment bahan</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Jet-grouting pasang rigging</w:t>
      </w:r>
    </w:p>
    <w:p>
      <w:pPr>
        <w:pStyle w:val="ListBullet"/>
        <w:spacing w:after="50"/>
        <w:ind w:left="369" w:hanging="170"/>
      </w:pPr>
      <w:r>
        <w:rPr>
          <w:rFonts w:ascii="Aptos" w:hAnsi="Aptos"/>
          <w:b w:val="0"/>
          <w:color w:val="263442"/>
          <w:sz w:val="19"/>
        </w:rPr>
        <w:t>High-tekanan pam</w:t>
      </w:r>
    </w:p>
    <w:p>
      <w:pPr>
        <w:pStyle w:val="ListBullet"/>
        <w:spacing w:after="50"/>
        <w:ind w:left="369" w:hanging="170"/>
      </w:pPr>
      <w:r>
        <w:rPr>
          <w:rFonts w:ascii="Aptos" w:hAnsi="Aptos"/>
          <w:b w:val="0"/>
          <w:color w:val="263442"/>
          <w:sz w:val="19"/>
        </w:rPr>
        <w:t>Jalankan grouting batching tanam</w:t>
      </w:r>
    </w:p>
    <w:p>
      <w:pPr>
        <w:pStyle w:val="ListBullet"/>
        <w:spacing w:after="50"/>
        <w:ind w:left="369" w:hanging="170"/>
      </w:pPr>
      <w:r>
        <w:rPr>
          <w:rFonts w:ascii="Aptos" w:hAnsi="Aptos"/>
          <w:b w:val="0"/>
          <w:color w:val="263442"/>
          <w:sz w:val="19"/>
        </w:rPr>
        <w:t>Aliran dan tekanan instruments</w:t>
      </w:r>
    </w:p>
    <w:p>
      <w:pPr>
        <w:pStyle w:val="ListBullet"/>
        <w:spacing w:after="50"/>
        <w:ind w:left="369" w:hanging="170"/>
      </w:pPr>
      <w:r>
        <w:rPr>
          <w:rFonts w:ascii="Aptos" w:hAnsi="Aptos"/>
          <w:b w:val="0"/>
          <w:color w:val="263442"/>
          <w:sz w:val="19"/>
        </w:rPr>
        <w:t>Spoil-treatment peralatan</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jet grouting untuk cut-off dan pengukuhan tanah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Cement jalankan grouting, Air, Admixtures where diluluskan, Bentonite seperti ditetapkan, Spoil-containment bahan.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column geometry. </w:t>
      </w:r>
      <w:r>
        <w:rPr>
          <w:rFonts w:ascii="Aptos" w:hAnsi="Aptos"/>
          <w:b w:val="0"/>
          <w:color w:val="263442"/>
          <w:sz w:val="19"/>
        </w:rPr>
        <w:t>Luluskan column geometry, overlap, jet parameters, spoil management, trial columns dan verification criteria.</w:t>
      </w:r>
    </w:p>
    <w:p>
      <w:pPr>
        <w:keepLines/>
        <w:spacing w:after="100" w:line="269" w:lineRule="auto"/>
        <w:ind w:left="369" w:hanging="369"/>
      </w:pPr>
      <w:r>
        <w:rPr>
          <w:rFonts w:ascii="Aptos" w:hAnsi="Aptos"/>
          <w:b/>
          <w:color w:val="071E33"/>
          <w:sz w:val="19"/>
        </w:rPr>
        <w:t xml:space="preserve">2. Kesan services dan buat setting-out columns. </w:t>
      </w:r>
      <w:r>
        <w:rPr>
          <w:rFonts w:ascii="Aptos" w:hAnsi="Aptos"/>
          <w:b w:val="0"/>
          <w:color w:val="263442"/>
          <w:sz w:val="19"/>
        </w:rPr>
        <w:t>Kesan services dan buat setting-out columns sebelum positioning  pasang rigging vertically pada  certified platform.</w:t>
      </w:r>
    </w:p>
    <w:p>
      <w:pPr>
        <w:keepLines/>
        <w:spacing w:after="100" w:line="269" w:lineRule="auto"/>
        <w:ind w:left="369" w:hanging="369"/>
      </w:pPr>
      <w:r>
        <w:rPr>
          <w:rFonts w:ascii="Aptos" w:hAnsi="Aptos"/>
          <w:b/>
          <w:color w:val="071E33"/>
          <w:sz w:val="19"/>
        </w:rPr>
        <w:t xml:space="preserve">3. Gerudi ke toe aras. </w:t>
      </w:r>
      <w:r>
        <w:rPr>
          <w:rFonts w:ascii="Aptos" w:hAnsi="Aptos"/>
          <w:b w:val="0"/>
          <w:color w:val="263442"/>
          <w:sz w:val="19"/>
        </w:rPr>
        <w:t>Gerudi ke toe aras sambil recording depth dan ground tindak balas dan preventing uncontrolled loss bagi returns.</w:t>
      </w:r>
    </w:p>
    <w:p>
      <w:pPr>
        <w:keepLines/>
        <w:spacing w:after="100" w:line="269" w:lineRule="auto"/>
        <w:ind w:left="369" w:hanging="369"/>
      </w:pPr>
      <w:r>
        <w:rPr>
          <w:rFonts w:ascii="Aptos" w:hAnsi="Aptos"/>
          <w:b/>
          <w:color w:val="071E33"/>
          <w:sz w:val="19"/>
        </w:rPr>
        <w:t xml:space="preserve">4. Jet dan withdraw di  trial-verified tekanan. </w:t>
      </w:r>
      <w:r>
        <w:rPr>
          <w:rFonts w:ascii="Aptos" w:hAnsi="Aptos"/>
          <w:b w:val="0"/>
          <w:color w:val="263442"/>
          <w:sz w:val="19"/>
        </w:rPr>
        <w:t>Jet dan withdraw di  trial-verified tekanan, aliran, rotation dan angkat rate ke bentuk setiap column.</w:t>
      </w:r>
    </w:p>
    <w:p>
      <w:pPr>
        <w:keepLines/>
        <w:spacing w:after="100" w:line="269" w:lineRule="auto"/>
        <w:ind w:left="369" w:hanging="369"/>
      </w:pPr>
      <w:r>
        <w:rPr>
          <w:rFonts w:ascii="Aptos" w:hAnsi="Aptos"/>
          <w:b/>
          <w:color w:val="071E33"/>
          <w:sz w:val="19"/>
        </w:rPr>
        <w:t xml:space="preserve">5. Bina columns dalam  diluluskan primary-secondary urutan. </w:t>
      </w:r>
      <w:r>
        <w:rPr>
          <w:rFonts w:ascii="Aptos" w:hAnsi="Aptos"/>
          <w:b w:val="0"/>
          <w:color w:val="263442"/>
          <w:sz w:val="19"/>
        </w:rPr>
        <w:t>Bina columns dalam  diluluskan primary-secondary urutan sambil controlling heave, settlement dan spoil.</w:t>
      </w:r>
    </w:p>
    <w:p>
      <w:pPr>
        <w:keepLines/>
        <w:spacing w:after="100" w:line="269" w:lineRule="auto"/>
        <w:ind w:left="369" w:hanging="369"/>
      </w:pPr>
      <w:r>
        <w:rPr>
          <w:rFonts w:ascii="Aptos" w:hAnsi="Aptos"/>
          <w:b/>
          <w:color w:val="071E33"/>
          <w:sz w:val="19"/>
        </w:rPr>
        <w:t xml:space="preserve">6. Core, uji atau expose selected columns, jalankan ukur continuity. </w:t>
      </w:r>
      <w:r>
        <w:rPr>
          <w:rFonts w:ascii="Aptos" w:hAnsi="Aptos"/>
          <w:b w:val="0"/>
          <w:color w:val="263442"/>
          <w:sz w:val="19"/>
        </w:rPr>
        <w:t>Core, uji atau expose selected columns, jalankan ukur continuity dan baiki gaps under  diluluskan procedure.</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reka bentuk dan trial; setting-out dan platform; drilling rekodkan; jet parameters; urutan dan ground tindak balas; verification pengujian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high-tekanan jet; kenaikan tanah; jalankan grouting spill; pasang rigging overturning; buried services.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Reka bentuk dan trial</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Setting-out dan platform</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Drilling rekodkan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Jet parameters</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Urutan dan ground tindak balas</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Verification pengujian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High-tekanan jet</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Kenaikan tanah</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Jalankan grouting spill</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Pasang rigging overturning</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Buried services</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MS-SRS-007</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Jet Grouting untuk Cut-Off dan Pengukuhan Tanah</dc:title>
  <dc:subject>Template penyata kaedah pembinaan yang boleh diedit</dc:subject>
  <dc:creator>Method Statement Hub Malaysia</dc:creator>
  <cp:keywords>jet grouting, cutoff wall, ground improvement, retaining structure</cp:keywords>
  <dc:description>generated by python-docx</dc:description>
  <cp:lastModifiedBy/>
  <cp:revision>1</cp:revision>
  <dcterms:created xsi:type="dcterms:W3CDTF">2013-12-23T23:15:00Z</dcterms:created>
  <dcterms:modified xsi:type="dcterms:W3CDTF">2013-12-23T23:15:00Z</dcterms:modified>
  <cp:category/>
</cp:coreProperties>
</file>